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13" w:rsidRPr="00552694" w:rsidRDefault="000A45AD" w:rsidP="001E5713">
      <w:pPr>
        <w:rPr>
          <w:rFonts w:ascii="Arial" w:hAnsi="Arial" w:cs="Arial"/>
          <w:b/>
        </w:rPr>
      </w:pPr>
      <w:r w:rsidRPr="00552694">
        <w:rPr>
          <w:rFonts w:ascii="Arial" w:hAnsi="Arial" w:cs="Arial"/>
          <w:b/>
        </w:rPr>
        <w:t xml:space="preserve">Article 1: </w:t>
      </w:r>
      <w:r w:rsidRPr="00552694">
        <w:rPr>
          <w:rFonts w:ascii="Arial" w:hAnsi="Arial" w:cs="Arial"/>
          <w:b/>
        </w:rPr>
        <w:tab/>
        <w:t>Definitions</w:t>
      </w:r>
    </w:p>
    <w:p w:rsidR="001E5713" w:rsidRPr="00552694" w:rsidRDefault="000A45AD" w:rsidP="001E5713">
      <w:pPr>
        <w:spacing w:after="0"/>
        <w:rPr>
          <w:rFonts w:ascii="Arial" w:hAnsi="Arial" w:cs="Arial"/>
          <w:b/>
        </w:rPr>
      </w:pPr>
      <w:r w:rsidRPr="00552694">
        <w:rPr>
          <w:rFonts w:ascii="Arial" w:hAnsi="Arial" w:cs="Arial"/>
          <w:b/>
        </w:rPr>
        <w:t xml:space="preserve">Title Change: </w:t>
      </w:r>
      <w:r w:rsidRPr="00552694">
        <w:rPr>
          <w:rFonts w:ascii="Arial" w:hAnsi="Arial" w:cs="Arial"/>
          <w:b/>
        </w:rPr>
        <w:tab/>
      </w:r>
      <w:r w:rsidR="001E5713" w:rsidRPr="00552694">
        <w:rPr>
          <w:rFonts w:ascii="Arial" w:hAnsi="Arial" w:cs="Arial"/>
          <w:b/>
        </w:rPr>
        <w:t xml:space="preserve">Article 1: </w:t>
      </w:r>
      <w:r w:rsidR="001E5713" w:rsidRPr="00552694">
        <w:rPr>
          <w:rFonts w:ascii="Arial" w:hAnsi="Arial" w:cs="Arial"/>
          <w:b/>
          <w:u w:val="single"/>
        </w:rPr>
        <w:t>Preamble and</w:t>
      </w:r>
      <w:r w:rsidR="001E5713" w:rsidRPr="00552694">
        <w:rPr>
          <w:rFonts w:ascii="Arial" w:hAnsi="Arial" w:cs="Arial"/>
          <w:b/>
        </w:rPr>
        <w:t xml:space="preserve"> Definitions </w:t>
      </w:r>
    </w:p>
    <w:p w:rsidR="001E5713" w:rsidRPr="00552694" w:rsidRDefault="001E5713" w:rsidP="001E5713">
      <w:pPr>
        <w:spacing w:after="0"/>
        <w:rPr>
          <w:rFonts w:ascii="Arial" w:hAnsi="Arial" w:cs="Arial"/>
        </w:rPr>
      </w:pPr>
    </w:p>
    <w:p w:rsidR="000A45AD" w:rsidRPr="00552694" w:rsidRDefault="001E5713" w:rsidP="001E5713">
      <w:pPr>
        <w:spacing w:after="0"/>
        <w:ind w:left="720" w:hanging="720"/>
        <w:rPr>
          <w:rFonts w:ascii="Arial" w:hAnsi="Arial" w:cs="Arial"/>
          <w:iCs/>
          <w:u w:val="single"/>
        </w:rPr>
      </w:pPr>
      <w:r w:rsidRPr="00552694">
        <w:rPr>
          <w:rFonts w:ascii="Arial" w:hAnsi="Arial" w:cs="Arial"/>
          <w:iCs/>
          <w:u w:val="single"/>
        </w:rPr>
        <w:t>1.0x</w:t>
      </w:r>
      <w:r w:rsidRPr="00552694">
        <w:rPr>
          <w:rFonts w:ascii="Arial" w:hAnsi="Arial" w:cs="Arial"/>
          <w:iCs/>
          <w:u w:val="single"/>
        </w:rPr>
        <w:tab/>
      </w:r>
      <w:r w:rsidR="000A45AD" w:rsidRPr="00552694">
        <w:rPr>
          <w:rFonts w:ascii="Arial" w:hAnsi="Arial" w:cs="Arial"/>
          <w:iCs/>
          <w:u w:val="single"/>
        </w:rPr>
        <w:t>Preamble:</w:t>
      </w:r>
    </w:p>
    <w:p w:rsidR="009026EA" w:rsidRPr="00552694" w:rsidRDefault="001E5713" w:rsidP="000A45AD">
      <w:pPr>
        <w:spacing w:after="0"/>
        <w:ind w:left="720"/>
        <w:rPr>
          <w:rFonts w:ascii="Arial" w:hAnsi="Arial" w:cs="Arial"/>
          <w:iCs/>
          <w:u w:val="single"/>
        </w:rPr>
      </w:pPr>
      <w:r w:rsidRPr="00552694">
        <w:rPr>
          <w:rFonts w:ascii="Arial" w:hAnsi="Arial" w:cs="Arial"/>
          <w:iCs/>
          <w:u w:val="single"/>
        </w:rPr>
        <w:t>The Parties to this Agreement recognize that WLUFA represents all Full-time and Part-time faculty and librarians in dealing with the University Administration in all matters of concern of its Members, that WLUFA negotiates on behalf of its Members and deals with all matters pertaining to their employment and working conditions, and that WLUFA advises its Members on matters of academic freedom, grievance, tenure and promotion, and generally strives to improve the working conditions of the academic community. In recognition of WLUFA’s responsibility to provide a high standard of service in achieving these goals, the Parties to this Agreement agree to cooperate in pursuit of these goals. The Parties agree to cooperate in establishing and maintaining for the WLUFA staff a working environment conducive to the fulfilment of the foregoing goals.</w:t>
      </w:r>
    </w:p>
    <w:p w:rsidR="001E5713" w:rsidRPr="00552694" w:rsidRDefault="001E5713" w:rsidP="001E5713">
      <w:pPr>
        <w:spacing w:after="0"/>
        <w:ind w:left="720" w:hanging="720"/>
        <w:rPr>
          <w:rFonts w:ascii="Arial" w:hAnsi="Arial" w:cs="Arial"/>
          <w:iCs/>
          <w:u w:val="single"/>
        </w:rPr>
      </w:pPr>
    </w:p>
    <w:p w:rsidR="001E5713" w:rsidRPr="00552694" w:rsidRDefault="001E5713" w:rsidP="001E5713">
      <w:pPr>
        <w:spacing w:after="0"/>
        <w:ind w:left="720" w:hanging="720"/>
        <w:rPr>
          <w:rFonts w:ascii="Arial" w:hAnsi="Arial" w:cs="Arial"/>
          <w:iCs/>
          <w:u w:val="single"/>
        </w:rPr>
      </w:pPr>
      <w:r w:rsidRPr="00552694">
        <w:rPr>
          <w:rFonts w:ascii="Arial" w:hAnsi="Arial" w:cs="Arial"/>
          <w:iCs/>
          <w:u w:val="single"/>
        </w:rPr>
        <w:t>1.0y</w:t>
      </w:r>
      <w:r w:rsidRPr="00552694">
        <w:rPr>
          <w:rFonts w:ascii="Arial" w:hAnsi="Arial" w:cs="Arial"/>
          <w:iCs/>
          <w:u w:val="single"/>
        </w:rPr>
        <w:tab/>
        <w:t xml:space="preserve">Supervisor and Immediate Supervisor: </w:t>
      </w:r>
    </w:p>
    <w:p w:rsidR="001E5713" w:rsidRPr="00552694" w:rsidRDefault="001E5713" w:rsidP="001E5713">
      <w:pPr>
        <w:spacing w:after="0"/>
        <w:ind w:left="720"/>
        <w:rPr>
          <w:rFonts w:ascii="Arial" w:hAnsi="Arial" w:cs="Arial"/>
          <w:iCs/>
          <w:u w:val="single"/>
        </w:rPr>
      </w:pPr>
      <w:r w:rsidRPr="00552694">
        <w:rPr>
          <w:rFonts w:ascii="Arial" w:hAnsi="Arial" w:cs="Arial"/>
          <w:iCs/>
          <w:u w:val="single"/>
        </w:rPr>
        <w:t>The Supervisor and the Immediate Supervisor shall be defined as the President of the Association or designate unless otherwise stated in the Contract.</w:t>
      </w:r>
    </w:p>
    <w:p w:rsidR="001E5713" w:rsidRPr="00552694" w:rsidRDefault="001E5713" w:rsidP="001E5713">
      <w:pPr>
        <w:spacing w:after="0"/>
        <w:ind w:left="720"/>
        <w:rPr>
          <w:rFonts w:ascii="Arial" w:hAnsi="Arial" w:cs="Arial"/>
          <w:iCs/>
        </w:rPr>
      </w:pPr>
    </w:p>
    <w:p w:rsidR="001E5713" w:rsidRPr="00552694" w:rsidRDefault="001E5713" w:rsidP="001E5713">
      <w:pPr>
        <w:spacing w:after="0"/>
        <w:ind w:left="720"/>
        <w:rPr>
          <w:rFonts w:ascii="Arial" w:hAnsi="Arial" w:cs="Arial"/>
          <w:iCs/>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bookmarkStart w:id="0" w:name="_GoBack"/>
      <w:bookmarkEnd w:id="0"/>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1E5713" w:rsidRPr="001E5713" w:rsidRDefault="001E5713" w:rsidP="001E5713">
      <w:pPr>
        <w:spacing w:after="0"/>
        <w:ind w:left="720"/>
        <w:rPr>
          <w:iCs/>
        </w:rPr>
      </w:pPr>
    </w:p>
    <w:sectPr w:rsidR="001E5713" w:rsidRPr="001E5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13"/>
    <w:rsid w:val="000A45AD"/>
    <w:rsid w:val="001E5713"/>
    <w:rsid w:val="004B474A"/>
    <w:rsid w:val="00552694"/>
    <w:rsid w:val="006D6873"/>
    <w:rsid w:val="0085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01CB-655F-4439-846E-06268947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4</cp:revision>
  <dcterms:created xsi:type="dcterms:W3CDTF">2018-09-17T20:06:00Z</dcterms:created>
  <dcterms:modified xsi:type="dcterms:W3CDTF">2018-09-23T14:48:00Z</dcterms:modified>
</cp:coreProperties>
</file>